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1124 ZPO — Digitale Kommunikation; Verordnungsermächtigung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08.01.2026 (konsolidierte Textfassung, kein amtliches Inkrafttretensdatum)</w:t>
      </w:r>
    </w:p>
    <w:p>
      <w:r>
        <w:t xml:space="preserve">(1) Das Online-Verfahren ist eröffnet, sofern die Klage</w:t>
      </w:r>
    </w:p>
    <w:p>
      <w:pPr>
        <w:ind w:left="420"/>
      </w:pPr>
      <w:r>
        <w:t xml:space="preserve">1. mittels eines digitalen Eingabesystems erstellt und wie folgt bei Gericht eingereicht wird:</w:t>
      </w:r>
    </w:p>
    <w:p>
      <w:pPr>
        <w:ind w:left="780"/>
      </w:pPr>
      <w:r>
        <w:t xml:space="preserve">a) auf einem sicheren Übermittlungsweg nach § 130a Absatz 4 Satz 1 Nummer 1 durch Rechtsanwälte oder nach § 130a Absatz 4 Satz 1 Nummer 3 und 4 durch Nutzer eines Postfachs oder</w:t>
      </w:r>
    </w:p>
    <w:p>
      <w:pPr>
        <w:ind w:left="780"/>
      </w:pPr>
      <w:r>
        <w:t xml:space="preserve">b) über die Kommunikationsplattform nach § 1131 durch Eingabe nach § 1132 Absatz 1 oder</w:t>
      </w:r>
    </w:p>
    <w:p>
      <w:pPr>
        <w:ind w:left="420"/>
      </w:pPr>
      <w:r>
        <w:t xml:space="preserve">2. über die Kommunikationsplattform nach § 1131 durch Übermittlung nach § 1132 Absatz 2 bei Gericht eingereicht wird.</w:t>
      </w:r>
    </w:p>
    <w:p>
      <w:r>
        <w:t xml:space="preserve">Reicht eine andere berechtigte Person für den Rechtsanwalt die Klage ein, muss diese mit einer qualifizierten elektronischen Signatur des verantwortenden Rechtsanwaltes versehen sein.</w:t>
      </w:r>
    </w:p>
    <w:p>
      <w:r>
        <w:t xml:space="preserve">(2) Für Anträge und Erklärungen der Parteien, die im Anschluss an die Klageeinreichung nach Absatz 1 erstellt werden, können weitere digitale Eingabesysteme genutzt werden. Für die Einreichung bei Gericht gilt Absatz 1 Satz 1 Nummer 1 und Satz 2 entsprechend.</w:t>
      </w:r>
    </w:p>
    <w:p>
      <w:r>
        <w:t xml:space="preserve">(3) Soweit digitale Eingabesysteme nach Absatz 2 bereitgestellt sind, müssen die Parteien diese bei einer Anordnung des Gerichts nutzen</w:t>
      </w:r>
    </w:p>
    <w:p>
      <w:pPr>
        <w:ind w:left="420"/>
      </w:pPr>
      <w:r>
        <w:t xml:space="preserve">1. bei Ansprüchen nach der Verordnung (EG) Nr. 261/2004 oder</w:t>
      </w:r>
    </w:p>
    <w:p>
      <w:pPr>
        <w:ind w:left="420"/>
      </w:pPr>
      <w:r>
        <w:t xml:space="preserve">2. bei Ansprüchen, die den durch Rechtsverordnung nach Absatz 4 bestimmten Anwendungsgebieten für eine Vielzahl gleichgelagerter und standardisierbarer Verfahren unterfallen.</w:t>
      </w:r>
    </w:p>
    <w:p>
      <w:r>
        <w:t xml:space="preserve">Satz 1 gilt nicht für Parteien, die natürliche Personen sind und nicht anwaltlich vertreten sind; diesen steht auch die Einreichung von Anträgen und Erklärungen bei Gericht nach den allgemeinen Vorschriften offen.</w:t>
      </w:r>
    </w:p>
    <w:p>
      <w:r>
        <w:t xml:space="preserve">(4) Das Bundesministerium der Justiz und für Verbraucherschutz wird ermächtigt, durch Rechtsverordnung mit Zustimmung des Bundesrates Anwendungsgebiete für eine Vielzahl gleichgelagerter und standardisierbarer Verfahren im Sinne des Absatzes 3 Satz 1 Nummer 2 zu bestimmen.</w:t>
      </w:r>
    </w:p>
    <w:p>
      <w:r>
        <w:t xml:space="preserve">(5) Bei einem Mahnverfahren kann nach einem Widerspruch nach § 696 Absatz 1 Satz 1 das beantragte streitige Verfahren als Online-Verfahren geführt werden, sofern</w:t>
      </w:r>
    </w:p>
    <w:p>
      <w:pPr>
        <w:ind w:left="420"/>
      </w:pPr>
      <w:r>
        <w:t xml:space="preserve">1. der Anwendungsbereich der Erprobung nach § 1122 Absatz 2 eröffnet ist,</w:t>
      </w:r>
    </w:p>
    <w:p>
      <w:pPr>
        <w:ind w:left="420"/>
      </w:pPr>
      <w:r>
        <w:t xml:space="preserve">2. das Gericht, an das der Rechtsstreit nach § 696 Absatz 1 Satz 1 abgegeben wurde, für die Durchführung des streitigen Verfahrens zuständig und auf der Grundlage des § 1123 zur Teilnahme an der Erprobung bestimmt ist,</w:t>
      </w:r>
    </w:p>
    <w:p>
      <w:pPr>
        <w:ind w:left="420"/>
      </w:pPr>
      <w:r>
        <w:t xml:space="preserve">3. der Antragsteller seinen Anspruch nach § 697 Absatz 1 Satz 1 ungeachtet der dort genannten Frist unter Nutzung eines digitalen Eingabesystems nach Absatz 1 begründet und</w:t>
      </w:r>
    </w:p>
    <w:p>
      <w:pPr>
        <w:ind w:left="420"/>
      </w:pPr>
      <w:r>
        <w:t xml:space="preserve">4. das Gericht bis zum Eingang der Begründung nach Nummer 3 keine verfahrensleitenden Maßnahmen getroffen hat.</w:t>
      </w:r>
    </w:p>
    <w:p>
      <w:r>
        <w:t xml:space="preserve">Entsprechendes gilt nach einem Einspruch gegen einen Vollstreckungsbescheid gemäß § 700 Absatz 3. Kommt eine Fortführung im Online-Verfahren nach Satz 1 Nummer 1 und 2 in Betracht, ist der Antragsteller mit der Aufforderung zur Anspruchsbegründung nach § 697 Absatz 1 Satz 1 auf diese Möglichkeit hinzuweisen.</w:t>
      </w:r>
    </w:p>
    <w:p>
      <w:r>
        <w:rPr>
          <w:color w:val="555555"/>
          <w:sz w:val="17"/>
        </w:rPr>
        <w:t xml:space="preserve">Zitiervorschlag: § 1124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https://recht.nulegal.eu/gesetze/ZPO/1124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