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1117 ZPO — Vollstreckungsabwehrklage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Klagen nach § 795 Satz 1 in Verbindung mit § 767 gilt § 1086 Absatz 1 entsprechend.</w:t>
      </w:r>
    </w:p>
    <w:p>
      <w:r>
        <w:t xml:space="preserve">(2) Richtet sich die Klage gegen die Vollstreckung aus einem gerichtlichen Vergleich oder einer öffentlichen Urkunde, ist § 767 Absatz 2 nicht anzuwenden.</w:t>
      </w:r>
    </w:p>
    <w:p>
      <w:r>
        <w:rPr>
          <w:color w:val="555555"/>
          <w:sz w:val="17"/>
        </w:rPr>
        <w:t xml:space="preserve">Zitiervorschlag: § 1117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