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1114 ZPO — Anfechtung der Anpassung eines Titels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Anfechtung der Anpassung eines Titels (Artikel 54 der Verordnung (EU) Nr. 1215/2012) sind folgende Rechtsgrundlagen entsprechend anzuwenden:</w:t>
      </w:r>
    </w:p>
    <w:p>
      <w:pPr>
        <w:ind w:left="420"/>
      </w:pPr>
      <w:r>
        <w:t xml:space="preserve">1. im Fall von Maßnahmen des Gerichtsvollziehers oder des Vollstreckungsgerichts § 766,</w:t>
      </w:r>
    </w:p>
    <w:p>
      <w:pPr>
        <w:ind w:left="420"/>
      </w:pPr>
      <w:r>
        <w:t xml:space="preserve">2. im Fall von Entscheidungen des Vollstreckungsgerichts oder von Vollstreckungsmaßnahmen des Prozessgerichts § 793 und</w:t>
      </w:r>
    </w:p>
    <w:p>
      <w:pPr>
        <w:ind w:left="420"/>
      </w:pPr>
      <w:r>
        <w:t xml:space="preserve">3. im Fall von Vollstreckungsmaßnahmen des Grundbuchamts § 71 der Grundbuchordnung.</w:t>
      </w:r>
    </w:p>
    <w:p>
      <w:r>
        <w:rPr>
          <w:color w:val="555555"/>
          <w:sz w:val="17"/>
        </w:rPr>
        <w:t xml:space="preserve">Zitiervorschlag: § 1114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https://recht.nulegal.eu/gesetze/ZPO/1114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