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1106 ZPO — Bestätigung inländischer Titel</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Ausstellung der Bestätigung nach Artikel 20 Abs. 2 der Verordnung (EG) Nr. 861/2007 ist das Gericht zuständig, dem die Erteilung einer vollstreckbaren Ausfertigung des Titels obliegt.</w:t>
      </w:r>
    </w:p>
    <w:p>
      <w:r>
        <w:t xml:space="preserve">(2) Vor Ausfertigung der Bestätigung ist der Schuldner anzuhören. Wird der Antrag auf Ausstellung einer Bestätigung zurückgewiesen, so sind die Vorschriften über die Anfechtung der Entscheidung über die Erteilung einer Vollstreckungsklausel entsprechend anzuwenden.</w:t>
      </w:r>
    </w:p>
    <w:p>
      <w:r>
        <w:rPr>
          <w:color w:val="555555"/>
          <w:sz w:val="17"/>
        </w:rPr>
        <w:t xml:space="preserve">Zitiervorschlag: § 1106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