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1105 ZPO — Zwangsvollstreckung inländischer Titel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Urteile sind für vorläufig vollstreckbar ohne Sicherheitsleistung zu erklären. Die §§ 712 und 719 Abs. 1 Satz 1 in Verbindung mit § 707 sind nicht anzuwenden.</w:t>
      </w:r>
    </w:p>
    <w:p>
      <w:r>
        <w:t xml:space="preserve">(2) Für Anträge auf Beschränkung der Zwangsvollstreckung nach Artikel 15 Abs. 2 in Verbindung mit Artikel 23 der Verordnung (EG) Nr. 861/2007 ist das Gericht der Hauptsache zuständig. Die Entscheidung ergeht im Wege einstweiliger Anordnung. Sie ist unanfechtbar. Die tatsächlichen Voraussetzungen des Artikels 23 der Verordnung (EG) Nr. 861/2007 sind glaubhaft zu machen.</w:t>
      </w:r>
    </w:p>
    <w:p>
      <w:r>
        <w:rPr>
          <w:color w:val="555555"/>
          <w:sz w:val="17"/>
        </w:rPr>
        <w:t xml:space="preserve">Zitiervorschlag: § 1105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https://recht.nulegal.eu/gesetze/ZPO/1105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