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1104 ZPO — Abhilfe bei unverschuldeter Säumnis des Beklagten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Liegen die Voraussetzungen des Artikels 18 Abs. 1 und 2 der Verordnung (EG) Nr. 861/2007 vor, wird das Verfahren fortgeführt; es wird in die Lage zurückversetzt, in der es sich vor Erlass des Urteils befand. Auf Antrag stellt das Gericht die Nichtigkeit des Urteils durch Beschluss fest.</w:t>
      </w:r>
    </w:p>
    <w:p>
      <w:r>
        <w:t xml:space="preserve">(2) Der Beklagte hat die tatsächlichen Voraussetzungen des Artikels 18 Abs. 1 und 2 der Verordnung (EG) Nr. 861/2007 glaubhaft zu machen.</w:t>
      </w:r>
    </w:p>
    <w:p>
      <w:r>
        <w:rPr>
          <w:color w:val="555555"/>
          <w:sz w:val="17"/>
        </w:rPr>
        <w:t xml:space="preserve">Zitiervorschlag: § 1104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https://recht.nulegal.eu/gesetze/ZPO/1104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