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ZPO — Prozesskostensicherheit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Kläger, die ihren gewöhnlichen Aufenthalt nicht in einem Mitgliedstaat der Europäischen Union oder einem Vertragsstaat des Abkommens über den Europäischen Wirtschaftsraum haben, leisten auf Verlangen des Beklagten wegen der Prozesskosten Sicherheit.</w:t>
      </w:r>
    </w:p>
    <w:p>
      <w:r>
        <w:t xml:space="preserve">(2) Diese Verpflichtung tritt nicht ein:</w:t>
      </w:r>
    </w:p>
    <w:p>
      <w:pPr>
        <w:ind w:left="420"/>
      </w:pPr>
      <w:r>
        <w:t xml:space="preserve">1. wenn auf Grund völkerrechtlicher Verträge keine Sicherheit verlangt werden kann;</w:t>
      </w:r>
    </w:p>
    <w:p>
      <w:pPr>
        <w:ind w:left="420"/>
      </w:pPr>
      <w:r>
        <w:t xml:space="preserve">2. wenn die Entscheidung über die Erstattung der Prozesskosten an den Beklagten auf Grund völkerrechtlicher Verträge vollstreckt würde;</w:t>
      </w:r>
    </w:p>
    <w:p>
      <w:pPr>
        <w:ind w:left="420"/>
      </w:pPr>
      <w:r>
        <w:t xml:space="preserve">3. wenn der Kläger im Inland ein zur Deckung der Prozesskosten hinreichendes Grundvermögen oder dinglich gesicherte Forderungen besitzt;</w:t>
      </w:r>
    </w:p>
    <w:p>
      <w:pPr>
        <w:ind w:left="420"/>
      </w:pPr>
      <w:r>
        <w:t xml:space="preserve">4. bei Widerklagen;</w:t>
      </w:r>
    </w:p>
    <w:p>
      <w:pPr>
        <w:ind w:left="420"/>
      </w:pPr>
      <w:r>
        <w:t xml:space="preserve">5. bei Klagen, die auf Grund einer öffentlichen Aufforderung erhoben werden.</w:t>
      </w:r>
    </w:p>
    <w:p>
      <w:r>
        <w:rPr>
          <w:color w:val="555555"/>
          <w:sz w:val="17"/>
        </w:rPr>
        <w:t xml:space="preserve">Zitiervorschlag: § 110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