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1096 ZPO — Anträge nach den Artikeln 22 und 23 der Verordnung (EG) Nr. 1896/2006; Vollstreckungsabwehrklage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Anträge auf Verweigerung der Zwangsvollstreckung nach Artikel 22 Abs. 1 der Verordnung (EG) Nr. 1896/2006 gilt § 1084 Abs. 1 und 2 entsprechend. Für Anträge auf Aussetzung oder Beschränkung der Zwangsvollstreckung nach Artikel 23 der Verordnung (EG) Nr. 1896/2006 ist § 1084 Abs. 1 und 3 entsprechend anzuwenden.</w:t>
      </w:r>
    </w:p>
    <w:p>
      <w:r>
        <w:t xml:space="preserve">(2) Für Anträge auf Verweigerung der Zwangsvollstreckung nach Artikel 22 Abs. 2 der Verordnung (EG) Nr. 1896/2006 gilt § 1086 Abs. 1 entsprechend. Für Klagen nach § 795 Satz 1 in Verbindung mit § 767 sind § 1086 Abs. 1 und § 1095 Abs. 2 entsprechend anzuwenden.</w:t>
      </w:r>
    </w:p>
    <w:p>
      <w:r>
        <w:rPr>
          <w:color w:val="555555"/>
          <w:sz w:val="17"/>
        </w:rPr>
        <w:t xml:space="preserve">Zitiervorschlag: § 1096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