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1092 ZPO — Verfahren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Entscheidung über einen Antrag auf Überprüfung des Europäischen Zahlungsbefehls nach Artikel 20 Abs. 1 oder Abs. 2 der Verordnung (EG) Nr. 1896/2006 ergeht durch Beschluss. Der Beschluss ist unanfechtbar.</w:t>
      </w:r>
    </w:p>
    <w:p>
      <w:r>
        <w:t xml:space="preserve">(2) Der Antragsgegner hat die Tatsachen, die eine Aufhebung des Europäischen Zahlungsbefehls begründen, glaubhaft zu machen.</w:t>
      </w:r>
    </w:p>
    <w:p>
      <w:r>
        <w:t xml:space="preserve">(3) Erklärt das Gericht den Europäischen Zahlungsbefehl für nichtig, endet das Verfahren nach der Verordnung (EG) Nr. 1896/2006.</w:t>
      </w:r>
    </w:p>
    <w:p>
      <w:r>
        <w:t xml:space="preserve">(4) Eine Wiedereinsetzung in die Frist nach Artikel 16 Abs. 2 der Verordnung (EG) Nr. 1896/2006 findet nicht statt.</w:t>
      </w:r>
    </w:p>
    <w:p>
      <w:r>
        <w:rPr>
          <w:color w:val="555555"/>
          <w:sz w:val="17"/>
        </w:rPr>
        <w:t xml:space="preserve">Zitiervorschlag: § 1092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