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1089 ZPO — Zustellung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06.07.2022 (konsolidierte Textfassung, kein amtliches Inkrafttretensdatum)</w:t>
      </w:r>
    </w:p>
    <w:p>
      <w:r>
        <w:t xml:space="preserve">(1) Ist der Europäische Zahlungsbefehl im Inland zuzustellen, gelten die Vorschriften über das Verfahren bei Zustellungen von Amts wegen entsprechend. Die §§ 185 bis 188 sind nicht anzuwenden.</w:t>
      </w:r>
    </w:p>
    <w:p>
      <w:r>
        <w:t xml:space="preserve">(2) Ist der Europäische Zahlungsbefehl in einem anderen Mitgliedstaat der Europäischen Union zuzustellen, gelten die Vorschriften der Verordnung (EU) 2020/1784 sowie für die Durchführung dieser Verordnung § 1067 Absatz 1, § 1069 Absatz 1 und § 1070 entsprechend.</w:t>
      </w:r>
    </w:p>
    <w:p>
      <w:r>
        <w:rPr>
          <w:color w:val="555555"/>
          <w:sz w:val="17"/>
        </w:rPr>
        <w:t xml:space="preserve">Zitiervorschlag: § 1089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