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1088 ZPO — Maschinelle Bearbeitung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Antrag auf Erlass des Europäischen Zahlungsbefehls und der Einspruch können in einer nur maschinell lesbaren Form bei Gericht eingereicht werden, wenn diese dem Gericht für seine maschinelle Bearbeitung geeignet erscheint. § 130a Absatz 5 Satz 1 gilt entsprechend.</w:t>
      </w:r>
    </w:p>
    <w:p>
      <w:r>
        <w:t xml:space="preserve">(2) Der Senat des Landes Berlin bestimmt durch Rechtsverordnung, die nicht der Zustimmung des Bundesrates bedarf, den Zeitpunkt, in dem beim Amtsgericht Wedding die maschinelle Bearbeitung der Mahnverfahren eingeführt wird; er kann die Ermächtigung durch Rechtsverordnung auf die Senatsverwaltung für Justiz des Landes Berlin übertragen.</w:t>
      </w:r>
    </w:p>
    <w:p>
      <w:r>
        <w:rPr>
          <w:color w:val="555555"/>
          <w:sz w:val="17"/>
        </w:rPr>
        <w:t xml:space="preserve">Zitiervorschlag: § 1088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