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1074 ZPO — Zuständigkeiten nach der Verordnung (EU) 2020/1783; Verordnungsermächtigung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06.07.2022 (konsolidierte Textfassung, kein amtliches Inkrafttretensdatum)</w:t>
      </w:r>
    </w:p>
    <w:p>
      <w:r>
        <w:t xml:space="preserve">(1) Für Beweisaufnahmen in der Bundesrepublik Deutschland ist als ersuchtes Gericht im Sinne von Artikel 3 Absatz 1 der Verordnung (EU) 2020/1783 dasjenige Amtsgericht zuständig, in dessen Bezirk die Verfahrenshandlung durchgeführt werden soll.</w:t>
      </w:r>
    </w:p>
    <w:p>
      <w:r>
        <w:t xml:space="preserve">(2) Die Landesregierungen können die Aufgaben des ersuchten Gerichts einem Amtsgericht für die Bezirke mehrerer Amtsgerichte durch Rechtsverordnung zuweisen.</w:t>
      </w:r>
    </w:p>
    <w:p>
      <w:r>
        <w:t xml:space="preserve">(3) Die Landesregierungen bestimmen durch Rechtsverordnung die Stelle, die in dem jeweiligen Land</w:t>
      </w:r>
    </w:p>
    <w:p>
      <w:pPr>
        <w:ind w:left="420"/>
      </w:pPr>
      <w:r>
        <w:t xml:space="preserve">1. als deutsche Zentralstelle nach Artikel 4 der Verordnung (EU) 2020/1783 zuständig ist,</w:t>
      </w:r>
    </w:p>
    <w:p>
      <w:pPr>
        <w:ind w:left="420"/>
      </w:pPr>
      <w:r>
        <w:t xml:space="preserve">2. als zuständige Stelle über Ersuchen um unmittelbare Beweisaufnahme nach Artikel 19 Absatz 1 der Verordnung (EU) 2020/1783 entscheidet.</w:t>
      </w:r>
    </w:p>
    <w:p>
      <w:r>
        <w:t xml:space="preserve">Die Aufgaben nach den Nummern 1 und 2 können in jedem Land nur jeweils einer Stelle zugewiesen werden.</w:t>
      </w:r>
    </w:p>
    <w:p>
      <w:r>
        <w:t xml:space="preserve">(4) Zentralstelle des Bundes nach Artikel 4 der Verordnung (EU) 2020/1783 ist das Bundesamt für Justiz. Es unterstützt bei Bedarf die zuständigen Behörden der Länder.</w:t>
      </w:r>
    </w:p>
    <w:p>
      <w:r>
        <w:t xml:space="preserve">(5) Die Landesregierungen können die Befugnis zum Erlass einer Rechtsverordnung nach den Absätzen 2 und 3 Satz 1 einer obersten Landesbehörde übertragen.</w:t>
      </w:r>
    </w:p>
    <w:p>
      <w:r>
        <w:rPr>
          <w:color w:val="555555"/>
          <w:sz w:val="17"/>
        </w:rPr>
        <w:t xml:space="preserve">Zitiervorschlag: § 1074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