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1071 ZPO — Zustellung nach dem Abkommen zwischen der Europäischen Gemeinschaft und dem Königreich Dänemark vom 19. Oktober 2005 über die Zustellung gerichtlicher und außergerichtlicher Schriftstücke in Zivil- oder Handelssachen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06.07.2022 (konsolidierte Textfassung, kein amtliches Inkrafttretensdatum)</w:t>
      </w:r>
    </w:p>
    <w:p>
      <w:r>
        <w:t xml:space="preserve">Wenn die Verordnung (EU) 2020/1784 im Verhältnis zu Dänemark auf Grund des Artikels 2 Absatz 1 des Abkommens zwischen der Europäischen Gemeinschaft und dem Königreich Dänemark vom 19. Oktober 2005 über die Zustellung gerichtlicher und außergerichtlicher Schriftstücke in Zivil- oder Handelssachen anwendbar ist, gelten die Vorschriften der §§ 1067 bis 1070 entsprechend.</w:t>
      </w:r>
    </w:p>
    <w:p>
      <w:r>
        <w:rPr>
          <w:color w:val="555555"/>
          <w:sz w:val="17"/>
        </w:rPr>
        <w:t xml:space="preserve">Zitiervorschlag: § 1071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