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1065 ZPO — Rechtsmittel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in § 1062 Abs. 1 Nr. 2 und 4 genannten Entscheidungen findet die Rechtsbeschwerde statt. Im Übrigen sind die Entscheidungen in den in § 1062 Abs. 1 bezeichneten Verfahren unanfechtbar.</w:t>
      </w:r>
    </w:p>
    <w:p>
      <w:r>
        <w:t xml:space="preserve">(2) Die Rechtsbeschwerde kann auch darauf gestützt werden, dass die Entscheidung auf einer Verletzung eines Staatsvertrages beruht. Die §§ 707, 717 sind entsprechend anzuwenden.</w:t>
      </w:r>
    </w:p>
    <w:p>
      <w:r>
        <w:rPr>
          <w:color w:val="555555"/>
          <w:sz w:val="17"/>
        </w:rPr>
        <w:t xml:space="preserve">Zitiervorschlag: § 1065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