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1060 ZPO — Inländische Schiedssprüche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Zwangsvollstreckung findet statt, wenn der Schiedsspruch für vollstreckbar erklärt ist.</w:t>
      </w:r>
    </w:p>
    <w:p>
      <w:r>
        <w:t xml:space="preserve">(2) Der Antrag auf Vollstreckbarerklärung ist unter Aufhebung des Schiedsspruchs abzulehnen, wenn einer der in § 1059 Abs. 2 bezeichneten Aufhebungsgründe vorliegt. Aufhebungsgründe sind nicht zu berücksichtigen, soweit im Zeitpunkt der Zustellung des Antrags auf Vollstreckbarerklärung ein auf sie gestützter Aufhebungsantrag rechtskräftig abgewiesen ist. Aufhebungsgründe nach § 1059 Abs. 2 Nr. 1 sind auch dann nicht zu berücksichtigen, wenn die in § 1059 Abs. 3 bestimmten Fristen abgelaufen sind, ohne dass der Antragsgegner einen Antrag auf Aufhebung des Schiedsspruchs gestellt hat.</w:t>
      </w:r>
    </w:p>
    <w:p>
      <w:r>
        <w:rPr>
          <w:color w:val="555555"/>
          <w:sz w:val="17"/>
        </w:rPr>
        <w:t xml:space="preserve">Zitiervorschlag: § 1060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https://recht.nulegal.eu/gesetze/ZPO/1060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