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1046 ZPO — Klage und Klagebeantwortung</w:t>
      </w:r>
    </w:p>
    <w:p>
      <w:r>
        <w:rPr>
          <w:color w:val="555555"/>
          <w:sz w:val="18"/>
        </w:rPr>
        <w:t xml:space="preserve">Zivilprozessordnung</w:t>
      </w:r>
    </w:p>
    <w:p>
      <w:r>
        <w:rPr>
          <w:color w:val="555555"/>
          <w:sz w:val="18"/>
        </w:rPr>
        <w:t xml:space="preserve">Stand: 10.06.2019 (konsolidierte Textfassung, kein amtliches Inkrafttretensdatum)</w:t>
      </w:r>
    </w:p>
    <w:p>
      <w:r>
        <w:t xml:space="preserve">(1) Innerhalb der von den Parteien vereinbarten oder vom Schiedsgericht bestimmten Frist hat der Kläger seinen Anspruch und die Tatsachen, auf die sich dieser Anspruch stützt, darzulegen und der Beklagte hierzu Stellung zu nehmen. Die Parteien können dabei alle ihnen erheblich erscheinenden Dokumente vorlegen oder andere Beweismittel bezeichnen, derer sie sich bedienen wollen.</w:t>
      </w:r>
    </w:p>
    <w:p>
      <w:r>
        <w:t xml:space="preserve">(2) Haben die Parteien nichts anderes vereinbart, so kann jede Partei im Laufe des schiedsrichterlichen Verfahrens ihre Klage oder ihre Angriffs- und Verteidigungsmittel ändern oder ergänzen, es sei denn, das Schiedsgericht lässt dies wegen Verspätung, die nicht genügend entschuldigt wird, nicht zu.</w:t>
      </w:r>
    </w:p>
    <w:p>
      <w:r>
        <w:t xml:space="preserve">(3) Die Absätze 1 und 2 gelten für die Widerklage entsprechend.</w:t>
      </w:r>
    </w:p>
    <w:p>
      <w:r>
        <w:rPr>
          <w:color w:val="555555"/>
          <w:sz w:val="17"/>
        </w:rPr>
        <w:t xml:space="preserve">Zitiervorschlag: § 1046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