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1045 ZPO — Verfahrenssprache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Parteien können die Sprache oder die Sprachen, die im schiedsrichterlichen Verfahren zu verwenden sind, vereinbaren. Fehlt eine solche Vereinbarung, so bestimmt hierüber das Schiedsgericht. Die Vereinbarung der Parteien oder die Bestimmung des Schiedsgerichts ist, sofern darin nichts anderes vorgesehen wird, für schriftliche Erklärungen einer Partei, mündliche Verhandlungen, Schiedssprüche, sonstige Entscheidungen und andere Mitteilungen des Schiedsgerichts maßgebend.</w:t>
      </w:r>
    </w:p>
    <w:p>
      <w:r>
        <w:t xml:space="preserve">(2) Das Schiedsgericht kann anordnen, dass schriftliche Beweismittel mit einer Übersetzung in die Sprache oder die Sprachen versehen sein müssen, die zwischen den Parteien vereinbart oder vom Schiedsgericht bestimmt worden sind.</w:t>
      </w:r>
    </w:p>
    <w:p>
      <w:r>
        <w:rPr>
          <w:color w:val="555555"/>
          <w:sz w:val="17"/>
        </w:rPr>
        <w:t xml:space="preserve">Zitiervorschlag: § 1045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