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1044 ZPO — Beginn des schiedsrichterlichen Verfahrens</w:t>
      </w:r>
    </w:p>
    <w:p>
      <w:r>
        <w:rPr>
          <w:color w:val="555555"/>
          <w:sz w:val="18"/>
        </w:rPr>
        <w:t xml:space="preserve">Zivilprozessordnung</w:t>
      </w:r>
    </w:p>
    <w:p>
      <w:r>
        <w:rPr>
          <w:color w:val="555555"/>
          <w:sz w:val="18"/>
        </w:rPr>
        <w:t xml:space="preserve">Stand: 10.06.2019 (konsolidierte Textfassung, kein amtliches Inkrafttretensdatum)</w:t>
      </w:r>
    </w:p>
    <w:p>
      <w:r>
        <w:t xml:space="preserve">Haben die Parteien nichts anderes vereinbart, so beginnt das schiedsrichterliche Verfahren über eine bestimmte Streitigkeit mit dem Tag, an dem der Beklagte den Antrag, die Streitigkeit einem Schiedsgericht vorzulegen, empfangen hat. Der Antrag muss die Bezeichnung der Parteien, die Angabe des Streitgegenstandes und einen Hinweis auf die Schiedsvereinbarung enthalten.</w:t>
      </w:r>
    </w:p>
    <w:p>
      <w:r>
        <w:rPr>
          <w:color w:val="555555"/>
          <w:sz w:val="17"/>
        </w:rPr>
        <w:t xml:space="preserve">Zitiervorschlag: § 1044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