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1033 ZPO — Schiedsvereinbarung und einstweilige gerichtliche Maßnahmen</w:t>
      </w:r>
    </w:p>
    <w:p>
      <w:r>
        <w:rPr>
          <w:color w:val="555555"/>
          <w:sz w:val="18"/>
        </w:rPr>
        <w:t xml:space="preserve">Zivilprozessordnung</w:t>
      </w:r>
    </w:p>
    <w:p>
      <w:r>
        <w:rPr>
          <w:color w:val="555555"/>
          <w:sz w:val="18"/>
        </w:rPr>
        <w:t xml:space="preserve">Stand: 10.06.2019 (konsolidierte Textfassung, kein amtliches Inkrafttretensdatum)</w:t>
      </w:r>
    </w:p>
    <w:p>
      <w:r>
        <w:t xml:space="preserve">Eine Schiedsvereinbarung schließt nicht aus, dass ein Gericht vor oder nach Beginn des schiedsrichterlichen Verfahrens auf Antrag einer Partei eine vorläufige oder sichernde Maßnahme in Bezug auf den Streitgegenstand des schiedsrichterlichen Verfahrens anordnet.</w:t>
      </w:r>
    </w:p>
    <w:p>
      <w:r>
        <w:rPr>
          <w:color w:val="555555"/>
          <w:sz w:val="17"/>
        </w:rPr>
        <w:t xml:space="preserve">Zitiervorschlag: § 1033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