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1030 ZPO — Schiedsfähigkeit</w:t>
      </w:r>
    </w:p>
    <w:p>
      <w:r>
        <w:rPr>
          <w:color w:val="555555"/>
          <w:sz w:val="18"/>
        </w:rPr>
        <w:t xml:space="preserve">Zivilprozessordnung</w:t>
      </w:r>
    </w:p>
    <w:p>
      <w:r>
        <w:rPr>
          <w:color w:val="555555"/>
          <w:sz w:val="18"/>
        </w:rPr>
        <w:t xml:space="preserve">Stand: 10.06.2019 (konsolidierte Textfassung, kein amtliches Inkrafttretensdatum)</w:t>
      </w:r>
    </w:p>
    <w:p>
      <w:r>
        <w:t xml:space="preserve">(1) Jeder vermögensrechtliche Anspruch kann Gegenstand einer Schiedsvereinbarung sein. Eine Schiedsvereinbarung über nichtvermögensrechtliche Ansprüche hat insoweit rechtliche Wirkung, als die Parteien berechtigt sind, über den Gegenstand des Streites einen Vergleich zu schließen.</w:t>
      </w:r>
    </w:p>
    <w:p>
      <w:r>
        <w:t xml:space="preserve">(2) Eine Schiedsvereinbarung über Rechtsstreitigkeiten, die den Bestand eines Mietverhältnisses über Wohnraum im Inland betreffen, ist unwirksam. Dies gilt nicht, soweit es sich um Wohnraum der in § 549 Abs. 2 Nr. 1 bis 3 des Bürgerlichen Gesetzbuchs bestimmten Art handelt.</w:t>
      </w:r>
    </w:p>
    <w:p>
      <w:r>
        <w:t xml:space="preserve">(3) Gesetzliche Vorschriften außerhalb dieses Buches, nach denen Streitigkeiten einem schiedsrichterlichen Verfahren nicht oder nur unter bestimmten Voraussetzungen unterworfen werden dürfen, bleiben unberührt.</w:t>
      </w:r>
    </w:p>
    <w:p>
      <w:r>
        <w:rPr>
          <w:color w:val="555555"/>
          <w:sz w:val="17"/>
        </w:rPr>
        <w:t xml:space="preserve">Zitiervorschlag: § 1030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