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101 ZPO — Kosten einer Nebenintervention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 eine Nebenintervention verursachten Kosten sind dem Gegner der Hauptpartei aufzuerlegen, soweit er nach den Vorschriften der §§ 91 bis 98 die Kosten des Rechtsstreits zu tragen hat; soweit dies nicht der Fall ist, sind sie dem Nebenintervenienten aufzuerlegen.</w:t>
      </w:r>
    </w:p>
    <w:p>
      <w:r>
        <w:t xml:space="preserve">(2) Gilt der Nebenintervenient als Streitgenosse der Hauptpartei (§ 69), so sind die Vorschriften des § 100 maßgebend.</w:t>
      </w:r>
    </w:p>
    <w:p>
      <w:r>
        <w:rPr>
          <w:color w:val="555555"/>
          <w:sz w:val="17"/>
        </w:rPr>
        <w:t xml:space="preserve">Zitiervorschlag: § 101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