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ZPÜbkHaagG</w:t>
      </w:r>
    </w:p>
    <w:p>
      <w:r>
        <w:rPr>
          <w:color w:val="555555"/>
          <w:sz w:val="18"/>
        </w:rPr>
        <w:t xml:space="preserve">Gesetz zur Ausführung des Haager Übereinkommens vom 1. März 1954 über den Zivilprozeß</w:t>
      </w:r>
    </w:p>
    <w:p>
      <w:r>
        <w:rPr>
          <w:color w:val="555555"/>
          <w:sz w:val="18"/>
        </w:rPr>
        <w:t xml:space="preserve">Stand: 10.06.2019 (konsolidierte Textfassung, kein amtliches Inkrafttretensdatum)</w:t>
      </w:r>
    </w:p>
    <w:p>
      <w:r>
        <w:t xml:space="preserve">(1) Sollen von einem Kläger, gegen den eine Kostenentscheidung ergangen ist (Artikel 18 des Übereinkommens), in einem Vertragsstaat Gerichtskosten eingezogen werden, so ist deren Betrag für ein Verfahren der Vollstreckbarerklärung (Artikel 18 Abs. 2) von dem Gericht der Instanz ohne mündliche Verhandlung durch Beschluß festzusetzen. Die Entscheidung ergeht auf Antrag der für die Beitreibung der Gerichtskosten zuständigen Behörde.</w:t>
      </w:r>
    </w:p>
    <w:p>
      <w:r>
        <w:t xml:space="preserve">(2) Der Beschluss, durch den der Betrag der Gerichtskosten festgesetzt wird, unterliegt der Beschwerde nach den §§ 567 bis 577 der Zivilprozessordnung. Die sofortige Beschwerde kann durch Erklärung zu Protokoll der Geschäftsstelle oder schriftlich ohne Mitwirkung eines Rechtsanwalts eingelegt werden.</w:t>
      </w:r>
    </w:p>
    <w:p>
      <w:r>
        <w:rPr>
          <w:color w:val="555555"/>
          <w:sz w:val="17"/>
        </w:rPr>
        <w:t xml:space="preserve">Zitiervorschlag: § 8 ZPÜbkHaagG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https://recht.nulegal.eu/gesetze/ZP%C3%9CbkHaagG/8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ZPÜbkHaagG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