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ZPÜbkHaagG</w:t>
      </w:r>
    </w:p>
    <w:p>
      <w:r>
        <w:rPr>
          <w:color w:val="555555"/>
          <w:sz w:val="18"/>
        </w:rPr>
        <w:t xml:space="preserve">Gesetz zur Ausführung des Haager Übereinkommens vom 1. März 1954 über den Zivilprozeß</w:t>
      </w:r>
    </w:p>
    <w:p>
      <w:r>
        <w:rPr>
          <w:color w:val="555555"/>
          <w:sz w:val="18"/>
        </w:rPr>
        <w:t xml:space="preserve">Stand: 10.06.2019 (konsolidierte Textfassung, kein amtliches Inkrafttretensdatum)</w:t>
      </w:r>
    </w:p>
    <w:p>
      <w:r>
        <w:t xml:space="preserve">(1) Gegen den Beschluss, durch den die Kostenentscheidung für vollstreckbar erklärt wird, steht dem Kostenschuldner die Beschwerde nach den §§ 567 bis 577 der Zivilprozessordnung zu.</w:t>
      </w:r>
    </w:p>
    <w:p>
      <w:r>
        <w:t xml:space="preserve">(2) Der Beschluß, durch den der Antrag auf Vollstreckbarerklärung abgelehnt wird, unterliegt der Beschwerde nach den §§ 567 bis 577 der Zivilprozeßordnung. Die Beschwerde steht, sofern der Antrag auf diplomatischem Wege gestellt ist, dem Staatsanwalt zu. Hat der Kostengläubiger selbst den Antrag bei dem Amtsgericht unmittelbar gestellt, so ist er berechtigt, die Beschwerde einzulegen.</w:t>
      </w:r>
    </w:p>
    <w:p>
      <w:r>
        <w:rPr>
          <w:color w:val="555555"/>
          <w:sz w:val="17"/>
        </w:rPr>
        <w:t xml:space="preserve">Zitiervorschlag: § 6 ZPÜbkHaagG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https://recht.nulegal.eu/gesetze/ZP%C3%9CbkHaagG/6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