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ZPÜbkHaagG</w:t>
      </w:r>
    </w:p>
    <w:p>
      <w:r>
        <w:rPr>
          <w:color w:val="555555"/>
          <w:sz w:val="18"/>
        </w:rPr>
        <w:t xml:space="preserve">Gesetz zur Ausführung des Haager Übereinkommens vom 1. März 1954 über den Zivilprozeß</w:t>
      </w:r>
    </w:p>
    <w:p>
      <w:r>
        <w:rPr>
          <w:color w:val="555555"/>
          <w:sz w:val="18"/>
        </w:rPr>
        <w:t xml:space="preserve">Stand: 10.06.2019 (konsolidierte Textfassung, kein amtliches Inkrafttretensdatum)</w:t>
      </w:r>
    </w:p>
    <w:p>
      <w:r>
        <w:t xml:space="preserve">(1) Kostenentscheidungen, die gegen einen Kläger ergangen sind (Artikel 18 des Übereinkommens), werden ohne mündliche Verhandlung durch Beschluß des Amtsgerichts für vollstreckbar erklärt.</w:t>
      </w:r>
    </w:p>
    <w:p>
      <w:r>
        <w:t xml:space="preserve">(2) Örtlich zuständig ist das Amtsgericht, bei dem der Kostenschuldner seinen allgemeinen Gerichtsstand hat, und beim Fehlen eines solchen das Amtsgericht, in dessen Bezirk sich Vermögen des Kostenschuldners befindet oder die Zwangsvollstreckung durchgeführt werden soll.</w:t>
      </w:r>
    </w:p>
    <w:p>
      <w:r>
        <w:rPr>
          <w:color w:val="555555"/>
          <w:sz w:val="17"/>
        </w:rPr>
        <w:t xml:space="preserve">Zitiervorschlag: § 4 ZPÜbkHaagG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https://recht.nulegal.eu/gesetze/ZP%C3%9CbkHaagG/4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ZPÜbkHaagG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