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ZPÜbkHaagG</w:t>
      </w:r>
    </w:p>
    <w:p>
      <w:r>
        <w:rPr>
          <w:color w:val="555555"/>
          <w:sz w:val="18"/>
        </w:rPr>
        <w:t xml:space="preserve">Gesetz zur Ausführung des Haager Übereinkommens vom 1. März 1954 über den Zivilprozeß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Erledigung von Zustellungsanträgen oder von Rechtshilfeersuchen ist das Amtsgericht zuständig, in dessen Bezirk die Amtshandlung vorzunehmen ist.</w:t>
      </w:r>
    </w:p>
    <w:p>
      <w:r>
        <w:t xml:space="preserve">(2) Die Zustellung wird durch die Geschäftsstelle des Amtsgerichts bewirkt. Diese hat auch den Zustellungsnachweis (Artikel 1 Abs. 1, Artikel 5 des Übereinkommens) zu erteilen.</w:t>
      </w:r>
    </w:p>
    <w:p>
      <w:r>
        <w:rPr>
          <w:color w:val="555555"/>
          <w:sz w:val="17"/>
        </w:rPr>
        <w:t xml:space="preserve">Zitiervorschlag: § 2 ZPÜbkHaagG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https://recht.nulegal.eu/gesetze/ZP%C3%9CbkHaagG/2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