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ZOZÜV</w:t>
      </w:r>
    </w:p>
    <w:p>
      <w:r>
        <w:rPr>
          <w:color w:val="555555"/>
          <w:sz w:val="18"/>
        </w:rPr>
        <w:t xml:space="preserve">Zuordnungszuständigkeitsübertragungsverordnung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7 Abs. 6 des Vermögenszuordnungsgesetzes, der durch Artikel 16 Nr. 10 Buchstabe e des Gesetzes vom 20. Dezember 1993 (BGBl. I S. 2182) eingefügt worden ist, verordnet das Bundesministerium der Finanzen:</w:t>
      </w:r>
    </w:p>
    <w:p>
      <w:r>
        <w:rPr>
          <w:color w:val="555555"/>
          <w:sz w:val="17"/>
        </w:rPr>
        <w:t xml:space="preserve">Zitiervorschlag: Eingangsformel ZOZÜV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https://recht.nulegal.eu/gesetze/ZOZ%C3%9CV/eingangsformel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