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ZOZÜV — Inkrafttreten</w:t>
      </w:r>
    </w:p>
    <w:p>
      <w:r>
        <w:rPr>
          <w:color w:val="555555"/>
          <w:sz w:val="18"/>
        </w:rPr>
        <w:t xml:space="preserve">Zuordnungszuständigkeitsübertragungsverordnung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ZOZÜV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https://recht.nulegal.eu/gesetze/ZOZ%C3%9CV/2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