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ZO-Ärzte</w:t>
      </w:r>
    </w:p>
    <w:p>
      <w:r>
        <w:rPr>
          <w:color w:val="555555"/>
          <w:sz w:val="18"/>
        </w:rPr>
        <w:t xml:space="preserve">Zulassungsverordnung für Vertragsärzte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Zulassungsbezirke werden von den Kassenärztlichen Vereinigungen und den Landesverbänden der Krankenkassen sowie den Ersatzkassen gemeinsam gebildet und abgegrenzt.</w:t>
      </w:r>
    </w:p>
    <w:p>
      <w:r>
        <w:t xml:space="preserve">(2) Werden Zulassungsbezirke für Teile des Bezirks einer Kassenärztlichen Vereinigung gebildet, so sind bei der Abgrenzung in der Regel die Grenzen der Stadt- und Landkreise zu berücksichtigen.</w:t>
      </w:r>
    </w:p>
    <w:p>
      <w:r>
        <w:t xml:space="preserve">(3) Die Kassenärztliche Vereinigung hat die Zulassungsbezirke unverzüglich in den für ihre amtlichen Bekanntmachungen zuständigen Blättern bekanntzugeben.</w:t>
      </w:r>
    </w:p>
    <w:p>
      <w:r>
        <w:rPr>
          <w:color w:val="555555"/>
          <w:sz w:val="17"/>
        </w:rPr>
        <w:t xml:space="preserve">Zitiervorschlag: § 11 ZO-Ärzte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https://recht.nulegal.eu/gesetze/ZO-%C3%84rzte/11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ZO-Ärzte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