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ZMediatAusbV — Gleichwertige im Ausland erworbene Qualifikation</w:t>
      </w:r>
    </w:p>
    <w:p>
      <w:r>
        <w:rPr>
          <w:color w:val="555555"/>
          <w:sz w:val="18"/>
        </w:rPr>
        <w:t xml:space="preserve">Zertifizierte-Mediatoren-Ausbildungsverordnung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Als zertifizierter Mediator darf sich auch bezeichnen, wer</w:t>
      </w:r>
    </w:p>
    <w:p>
      <w:pPr>
        <w:ind w:left="420"/>
      </w:pPr>
      <w:r>
        <w:t xml:space="preserve">1. im Ausland eine Ausbildung zum Mediator im Umfang von mindestens 90 Zeitstunden abgeschlossen hat und</w:t>
      </w:r>
    </w:p>
    <w:p>
      <w:pPr>
        <w:ind w:left="420"/>
      </w:pPr>
      <w:r>
        <w:t xml:space="preserve">2. anschließend als Mediator oder Co-Mediator mindestens vier Mediationen durchgeführt hat.</w:t>
      </w:r>
    </w:p>
    <w:p>
      <w:r>
        <w:t xml:space="preserve">1 § 6 dieser Verordnung dient der Umsetzung der Richtlinie 2005/36/EG des Europäischen Parlaments und des Rates vom 7. September 2005 über die Anerkennung von Berufsqualifikationen (ABl. L 255 vom 30.9.2005, S. 22, L 271 vom 16.10.2007, S. 18, L 93 vom 4.4.2008, S. 28, L 33 vom 3.2.2009, S. 49, L 305 vom 24.10.2014, S. 115), die zuletzt durch die Richtlinie 2013/55/EU (ABl. L 354 vom 28.12.2013, S. 132, L 268 vom 15.10.2015, S. 35, L 95 vom 9.4.2016, S. 20) geändert worden ist, sowie der Richtlinie 2013/55/EU des Europäischen Parlaments und des Rates vom 20. November 2013 zur Änderung der Richtlinie 2005/36/EG über die Anerkennung von Berufsqualifikationen und der Verordnung (EU) Nr. 1024/2012 über die Verwaltungszusammenarbeit mit Hilfe des Binnenmarkt-Informationssystems („IMI-Verordnung“) (ABl. L 354 vom 28.12.2013, S. 132, L 268 vom 15.10.2015, S. 35, L 95 vom 9.4.2016, S. 20).</w:t>
      </w:r>
    </w:p>
    <w:p>
      <w:r>
        <w:rPr>
          <w:color w:val="555555"/>
          <w:sz w:val="17"/>
        </w:rPr>
        <w:t xml:space="preserve">Zitiervorschlag: § 6 ZMediatAusbV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https://recht.nulegal.eu/gesetze/ZMediatAusbV/6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