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ZMediatAusbV — Anwendungsbereich</w:t>
      </w:r>
    </w:p>
    <w:p>
      <w:r>
        <w:rPr>
          <w:color w:val="555555"/>
          <w:sz w:val="18"/>
        </w:rPr>
        <w:t xml:space="preserve">Zertifizierte-Mediatoren-Ausbildungsverordnung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die Ausbildung zum zertifizierten Mediator,</w:t>
      </w:r>
    </w:p>
    <w:p>
      <w:pPr>
        <w:ind w:left="420"/>
      </w:pPr>
      <w:r>
        <w:t xml:space="preserve">2. die Fortbildung des zertifizierten Mediators sowie</w:t>
      </w:r>
    </w:p>
    <w:p>
      <w:pPr>
        <w:ind w:left="420"/>
      </w:pPr>
      <w:r>
        <w:t xml:space="preserve">3. Anforderungen an die Einrichtungen zur Aus- und Fortbildung nach den Nummern 1 und 2.</w:t>
      </w:r>
    </w:p>
    <w:p>
      <w:r>
        <w:rPr>
          <w:color w:val="555555"/>
          <w:sz w:val="17"/>
        </w:rPr>
        <w:t xml:space="preserve">Zitiervorschlag: § 1 ZMediatAusbV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https://recht.nulegal.eu/gesetze/ZMediatAusbV/1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ZMediatAusbV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