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ZMV</w:t>
      </w:r>
    </w:p>
    <w:p>
      <w:r>
        <w:rPr>
          <w:color w:val="555555"/>
          <w:sz w:val="18"/>
        </w:rPr>
        <w:t xml:space="preserve">Zugänglichmachungsverordnung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191a Abs. 2 des Gerichtsverfassungsgesetzes in der Fassung der Bekanntmachung vom 9. Mai 1975 (BGBl. I S. 1077), der durch Artikel 20 Nr. 5 des Gesetzes vom 23. Juli 2002 (BGBl. I S. 2850) eingefügt und durch Artikel 15c Nr. 2 des Gesetzes vom 22. März 2005 (BGBl. I S. 837) geändert worden ist, auch in Verbindung mit § 46 Abs. 8 des Gesetzes über Ordnungswidrigkeiten in der Fassung der Bekanntmachung vom 19. Februar 1987 (BGBl. I S. 602), der durch Artikel 1 Nr. 2 des Gesetzes vom 26. Juli 2002 (BGBl. I S. 2864, 3516)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ZMV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