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ZMV — Zeitpunkt der Zugänglichmachung</w:t>
      </w:r>
    </w:p>
    <w:p>
      <w:r>
        <w:rPr>
          <w:color w:val="555555"/>
          <w:sz w:val="18"/>
        </w:rPr>
        <w:t xml:space="preserve">Zugänglichmachungsverordnung</w:t>
      </w:r>
    </w:p>
    <w:p>
      <w:r>
        <w:rPr>
          <w:color w:val="555555"/>
          <w:sz w:val="18"/>
        </w:rPr>
        <w:t xml:space="preserve">Stand: 10.06.2019 (konsolidierte Textfassung, kein amtliches Inkrafttretensdatum)</w:t>
      </w:r>
    </w:p>
    <w:p>
      <w:r>
        <w:t xml:space="preserve">Die Zugänglichmachung soll im zeitlichen Zusammenhang mit der Zustellung oder formlosen Mitteilung der für die berechtigte Person bestimmten Dokumente erfolgen, es sei denn, die damit verbundene Verzögerung ist unter Berücksichtigung der berechtigten Interessen der übrigen Verfahrensbeteiligten oder des Verfahrenszwecks nicht hinnehmbar.</w:t>
      </w:r>
    </w:p>
    <w:p>
      <w:r>
        <w:rPr>
          <w:color w:val="555555"/>
          <w:sz w:val="17"/>
        </w:rPr>
        <w:t xml:space="preserve">Zitiervorschlag: § 7 ZMV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