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ZMV — Umfang des Anspruchs</w:t>
      </w:r>
    </w:p>
    <w:p>
      <w:r>
        <w:rPr>
          <w:color w:val="555555"/>
          <w:sz w:val="18"/>
        </w:rPr>
        <w:t xml:space="preserve">Zugänglichmachungsverordnung</w:t>
      </w:r>
    </w:p>
    <w:p>
      <w:r>
        <w:rPr>
          <w:color w:val="555555"/>
          <w:sz w:val="18"/>
        </w:rPr>
        <w:t xml:space="preserve">Stand: 10.06.2019 (konsolidierte Textfassung, kein amtliches Inkrafttretensdatum)</w:t>
      </w:r>
    </w:p>
    <w:p>
      <w:r>
        <w:t xml:space="preserve">(1) Der Anspruch auf Zugänglichmachung besteht, soweit der berechtigten Person dadurch der Zugang zu den ihr zugestellten oder formlos mitgeteilten Dokumenten erleichtert und sie in die Lage versetzt wird, eigene Rechte im Verfahren wahrzunehmen.</w:t>
      </w:r>
    </w:p>
    <w:p>
      <w:r>
        <w:t xml:space="preserve">(2) Die Zugänglichmachung erfolgt auf Verlangen der berechtigten Person. Die nach § 1 Abs. 3 verpflichtete Stelle hat die berechtigte Person auf ihren Anspruch hinzuweisen.</w:t>
      </w:r>
    </w:p>
    <w:p>
      <w:r>
        <w:t xml:space="preserve">(3) Das Verlangen auf Zugänglichmachung kann in jedem Abschnitt des Verfahrens geltend gemacht werden. Es ist aktenkundig zu machen und im weiteren Verfahren von Amts wegen zu berücksichtigen.</w:t>
      </w:r>
    </w:p>
    <w:p>
      <w:r>
        <w:rPr>
          <w:color w:val="555555"/>
          <w:sz w:val="17"/>
        </w:rPr>
        <w:t xml:space="preserve">Zitiervorschlag: § 4 ZMV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https://recht.nulegal.eu/gesetze/ZMV/4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