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ZMV — Formen der Zugänglichmachung</w:t>
      </w:r>
    </w:p>
    <w:p>
      <w:r>
        <w:rPr>
          <w:color w:val="555555"/>
          <w:sz w:val="18"/>
        </w:rPr>
        <w:t xml:space="preserve">Zugänglichmachungsverordnung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Dokumente können der berechtigten Person schriftlich, elektronisch, akustisch, mündlich, fernmündlich oder in anderer geeigneter Weise zugänglich gemacht werden.</w:t>
      </w:r>
    </w:p>
    <w:p>
      <w:r>
        <w:t xml:space="preserve">(2) Die schriftliche Zugänglichmachung erfolgt in Blindenschrift oder in Großdruck. Bei Großdruck sind ein Schriftbild, eine Kontrastierung und eine Papierqualität zu wählen, die die individuelle Wahrnehmungsfähigkeit der berechtigten Person ausreichend berücksichtigen.</w:t>
      </w:r>
    </w:p>
    <w:p>
      <w:r>
        <w:t xml:space="preserve">(3) Die elektronische Zugänglichmachung erfolgt durch Übermittlung eines elektronischen Dokuments. Dabei sind die Standards von § 3 der Barrierefreie-Informationstechnik-Verordnung vom 12. September 2011 (BGBl. I S. 1843) in der jeweils geltenden Fassung maßgebend. Das Dokument ist gegen unbefugte Kenntnisnahme zu schützen.</w:t>
      </w:r>
    </w:p>
    <w:p>
      <w:r>
        <w:rPr>
          <w:color w:val="555555"/>
          <w:sz w:val="17"/>
        </w:rPr>
        <w:t xml:space="preserve">Zitiervorschlag: § 3 ZMV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https://recht.nulegal.eu/gesetze/ZMV/3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