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ZMV — Gegenstand der Zugänglichmachung</w:t>
      </w:r>
    </w:p>
    <w:p>
      <w:r>
        <w:rPr>
          <w:color w:val="555555"/>
          <w:sz w:val="18"/>
        </w:rPr>
        <w:t xml:space="preserve">Zugänglichmachungsverordnung</w:t>
      </w:r>
    </w:p>
    <w:p>
      <w:r>
        <w:rPr>
          <w:color w:val="555555"/>
          <w:sz w:val="18"/>
        </w:rPr>
        <w:t xml:space="preserve">Stand: 10.06.2019 (konsolidierte Textfassung, kein amtliches Inkrafttretensdatum)</w:t>
      </w:r>
    </w:p>
    <w:p>
      <w:r>
        <w:t xml:space="preserve">(1) Der Anspruch auf Zugänglichmachung nach § 191a Absatz 1 Satz 2 und Abs. 2 des Gerichtsverfassungsgesetzes, auch in Verbindung mit § 46 Abs. 1 des Gesetzes über Ordnungswidrigkeiten, umfasst Dokumente, die einer berechtigten Person zuzustellen oder formlos bekannt zu geben sind. Diesen Dokumenten als Anlagen beigefügte Zeichnungen und andere Darstellungen, die nicht in Schriftzeichen wiedergegeben werden können, sowie von einer Behörde vorgelegte Akten werden von der Verordnung nicht erfasst.</w:t>
      </w:r>
    </w:p>
    <w:p>
      <w:r>
        <w:t xml:space="preserve">(2) Die Vorschriften über die Zustellung oder formlose Mitteilung von Dokumenten bleiben unberührt.</w:t>
      </w:r>
    </w:p>
    <w:p>
      <w:r>
        <w:t xml:space="preserve">(3) Weitergehende Ansprüche auf Zugänglichmachung, die sich für berechtigte Personen aus anderen Rechtsvorschriften ergeben, bleiben unberührt.</w:t>
      </w:r>
    </w:p>
    <w:p>
      <w:r>
        <w:rPr>
          <w:color w:val="555555"/>
          <w:sz w:val="17"/>
        </w:rPr>
        <w:t xml:space="preserve">Zitiervorschlag: § 2 ZMV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