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ZMV — Anwendungsbereich</w:t>
      </w:r>
    </w:p>
    <w:p>
      <w:r>
        <w:rPr>
          <w:color w:val="555555"/>
          <w:sz w:val="18"/>
        </w:rPr>
        <w:t xml:space="preserve">Zugänglichmachungsverordnung</w:t>
      </w:r>
    </w:p>
    <w:p>
      <w:r>
        <w:rPr>
          <w:color w:val="555555"/>
          <w:sz w:val="18"/>
        </w:rPr>
        <w:t xml:space="preserve">Stand: 10.06.2019 (konsolidierte Textfassung, kein amtliches Inkrafttretensdatum)</w:t>
      </w:r>
    </w:p>
    <w:p>
      <w:r>
        <w:t xml:space="preserve">(1) Diese Verordnung regelt die Anforderungen und das Verfahren für die Zugänglichmachung von Dokumenten im gerichtlichen Verfahren an eine blinde oder sehbehinderte Person (berechtigte Person) in einer für sie wahrnehmbaren Form.</w:t>
      </w:r>
    </w:p>
    <w:p>
      <w:r>
        <w:t xml:space="preserve">(2) Die Verordnung gilt für das staatsanwaltschaftliche Ermittlungs- und Vollstreckungsverfahren sowie für das behördliche Bußgeldverfahren entsprechend, wenn blinde oder sehbehinderte Personen beteiligt sind.</w:t>
      </w:r>
    </w:p>
    <w:p>
      <w:r>
        <w:t xml:space="preserve">(3) Der Anspruch auf Zugänglichmachung besteht nach Maßgabe dieser Verordnung im gerichtlichen Verfahren gegenüber dem Gericht, im staatsanwaltschaftlichen Ermittlungsverfahren gegenüber der Staatsanwaltschaft, im behördlichen Bußgeldverfahren gegenüber der Verfolgungsbehörde und in den mit diesen Verfahren in Zusammenhang stehenden Vollstreckungsverfahren gegenüber der jeweils zuständigen Vollstreckungsbehörde.</w:t>
      </w:r>
    </w:p>
    <w:p>
      <w:r>
        <w:rPr>
          <w:color w:val="555555"/>
          <w:sz w:val="17"/>
        </w:rPr>
        <w:t xml:space="preserve">Zitiervorschlag: § 1 ZMV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