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ZLV (Bayern) — Prüfungsverfahren</w:t>
      </w:r>
    </w:p>
    <w:p>
      <w:r>
        <w:rPr>
          <w:color w:val="555555"/>
          <w:sz w:val="18"/>
        </w:rPr>
        <w:t xml:space="preserve">Zulassungsverordnung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eingereichten Prüfstücke werden in der Regel von zwei Sachverständigen begutachtet, die vom Staatsministerium ausgewählt und bestellt werden.</w:t>
      </w:r>
    </w:p>
    <w:p>
      <w:r>
        <w:t xml:space="preserve">(2) Lernmittel für das Fach Religionslehre werden vom Verlag der betreffenden Religionsgemeinschaft zur Stellungnahme zugeleitet, wenn diese den Zulassungsantrag nicht selbst gestellt hat.</w:t>
      </w:r>
    </w:p>
    <w:p>
      <w:r>
        <w:rPr>
          <w:color w:val="555555"/>
          <w:sz w:val="17"/>
        </w:rPr>
        <w:t xml:space="preserve">Zitiervorschlag: § 5 ZLV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https://recht.nulegal.eu/gesetze/ZLV/5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