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ZLV (Bayern) — Zulassungsvoraussetzungen</w:t>
      </w:r>
    </w:p>
    <w:p>
      <w:r>
        <w:rPr>
          <w:color w:val="555555"/>
          <w:sz w:val="18"/>
        </w:rPr>
        <w:t xml:space="preserve">Zulassungsverordnung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Lernmittel im Sinn der §§ 1 und 2 werden vom Staatsministerium für Unterricht und Kultus (Staatsministerium) auf Antrag in seinem Geschäftsbereich zum Gebrauch in den Schulen nur zugelassen, wenn sie</w:t>
      </w:r>
    </w:p>
    <w:p>
      <w:r>
        <w:t xml:space="preserve">1. nicht in Widerspruch zu geltendem Recht stehen,</w:t>
      </w:r>
    </w:p>
    <w:p>
      <w:r>
        <w:t xml:space="preserve">2. die Anforderungen der Lehrpläne erfüllen,</w:t>
      </w:r>
    </w:p>
    <w:p>
      <w:r>
        <w:t xml:space="preserve">3. den Anforderungen entsprechen, die nach pädagogischen Erkenntnissen, insbesondere nach methodischen und didaktischen Grundsätzen sowie nach Auswahl, Anordnung, Darbietung und Umfang des Stoffs für die betreffende Schulart und Jahrgangsstufe angemessen sind,</w:t>
      </w:r>
    </w:p>
    <w:p>
      <w:r>
        <w:t xml:space="preserve">4. im Fach Religionslehre von der betreffenden Religionsgemeinschaft als mit ihren Glaubensgrundsätzen vereinbar erklärt worden sind,</w:t>
      </w:r>
    </w:p>
    <w:p>
      <w:r>
        <w:t xml:space="preserve">5. keine für den Unterricht nicht erforderliche Werbung enthalten und</w:t>
      </w:r>
    </w:p>
    <w:p>
      <w:r>
        <w:t xml:space="preserve">6. keine mehrgeschlechtlichen Schreibweisen durch Wortbinnenzeichen wie Genderstern, Doppelpunkt, Gender-Gap oder Mediopunkt enthalten.</w:t>
      </w:r>
    </w:p>
    <w:p>
      <w:r>
        <w:t xml:space="preserve">(2) Lernmittel, die der Begleitung des Wissenschaftspropädeutischen Seminars und des Projektseminars zur Studien- und Berufsorientierung in der Oberstufe des Gymnasiums dienen, werden zugelassen, wenn sie die in Abs. 1 Nrn. 1, 3 und 5 genannten Voraussetzungen erfüllen.</w:t>
      </w:r>
    </w:p>
    <w:p>
      <w:r>
        <w:rPr>
          <w:color w:val="555555"/>
          <w:sz w:val="17"/>
        </w:rPr>
        <w:t xml:space="preserve">Zitiervorschlag: § 3 ZLV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https://recht.nulegal.eu/gesetze/ZLV/3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