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ZLGAbk (Bayern) — Schiedsklausel</w:t>
      </w:r>
    </w:p>
    <w:p>
      <w:r>
        <w:rPr>
          <w:color w:val="555555"/>
          <w:sz w:val="18"/>
        </w:rPr>
        <w:t xml:space="preserve">Abkommen über die Zentralstelle der Länder für Gesundheitsschutz bei Arzneimitteln und Medizinprodukten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Streitigkeiten aus diesem Abkommen werden durch ein Schiedsgericht entschieden. Es gilt der als Anlage beigefügte Schiedsvertrag, er ist Bestandteil des Abkommens.</w:t>
      </w:r>
    </w:p>
    <w:p>
      <w:r>
        <w:rPr>
          <w:color w:val="555555"/>
          <w:sz w:val="17"/>
        </w:rPr>
        <w:t xml:space="preserve">Zitiervorschlag: Art 6 ZLGAbk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https://recht.nulegal.eu/gesetze/ZLGAbk/6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