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ZKG — Form und Gestaltung der Entgeltinformation</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 Entgeltinformation bedarf der Textform.</w:t>
      </w:r>
    </w:p>
    <w:p>
      <w:r>
        <w:t xml:space="preserve">(2) Die Entgeltinformation ist als ein kurz gehaltenes, eigenständiges Dokument abzufassen. Sie muss so gestaltet sein, dass sie klar und leicht verständlich ist. Schriftart und Schriftgröße sowie Farbgestaltung müssen so gewählt werden, dass die Entgeltinformation sowohl im Original als auch ebenso, wenn sie farbig oder schwarz-weiß kopiert oder ausgedruckt wird, gut lesbar ist.</w:t>
      </w:r>
    </w:p>
    <w:p>
      <w:r>
        <w:t xml:space="preserve">(3) Die Entgeltinformation muss den Anforderungen des von der Europäischen Kommission gemäß Artikel 4 Absatz 6 der Richtlinie 2014/92/EU festgelegten standardisierten Präsentationsformats entsprechen. Das Dokument muss am oberen Ende der ersten Seite mit „Entgeltinformation“ überschrieben sein. Neben der Überschrift ist das gemeinsame Symbol zur Unterscheidung der Entgeltinformation von anderen Unterlagen anzubringen, das von der Europäischen Kommission gemäß Artikel 4 Absatz 6 der Richtlinie 2014/92/EU festgelegt worden ist.</w:t>
      </w:r>
    </w:p>
    <w:p>
      <w:r>
        <w:t xml:space="preserve">(4) Zahlungsdienstleister genügen den Anforderungen an die Gestaltung der Entgeltinformation nach den Absätzen 2 und 3, wenn sie das von der Bundesanstalt für Finanzdienstleistungsaufsicht nach § 47 Absatz 2 für Entgeltinformationen veröffentlichte Muster verwenden.</w:t>
      </w:r>
    </w:p>
    <w:p>
      <w:r>
        <w:rPr>
          <w:color w:val="555555"/>
          <w:sz w:val="17"/>
        </w:rPr>
        <w:t xml:space="preserve">Zitiervorschlag: § 9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https://recht.nulegal.eu/gesetze/ZKG/9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