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ZKG — Verwaltungsverfahren</w:t>
      </w:r>
    </w:p>
    <w:p>
      <w:r>
        <w:rPr>
          <w:color w:val="555555"/>
          <w:sz w:val="18"/>
        </w:rPr>
        <w:t xml:space="preserve">Zahlungskontengesetz</w:t>
      </w:r>
    </w:p>
    <w:p>
      <w:r>
        <w:rPr>
          <w:color w:val="555555"/>
          <w:sz w:val="18"/>
        </w:rPr>
        <w:t xml:space="preserve">Stand: 16.12.2023 (konsolidierte Textfassung, kein amtliches Inkrafttretensdatum)</w:t>
      </w:r>
    </w:p>
    <w:p>
      <w:r>
        <w:t xml:space="preserve">(1) Der Berechtigte kann gegenüber der Bundesanstalt die Durchführung eines Verwaltungsverfahrens nach dieser Vorschrift gegen den Verpflichteten beantragen, wenn dieser</w:t>
      </w:r>
    </w:p>
    <w:p>
      <w:pPr>
        <w:ind w:left="420"/>
      </w:pPr>
      <w:r>
        <w:t xml:space="preserve">1. den Antrag des Berechtigten auf Abschluss eines Basiskontovertrags ablehnt,</w:t>
      </w:r>
    </w:p>
    <w:p>
      <w:pPr>
        <w:ind w:left="420"/>
      </w:pPr>
      <w:r>
        <w:t xml:space="preserve">2. über den Antrag nach Nummer 1 nicht innerhalb von zehn Geschäftstagen nach dessen Eingang entscheidet oder</w:t>
      </w:r>
    </w:p>
    <w:p>
      <w:pPr>
        <w:ind w:left="420"/>
      </w:pPr>
      <w:r>
        <w:t xml:space="preserve">3. ein Basiskonto nicht innerhalb von zehn Geschäftstagen nach Abschluss eines Basiskontovertrags eröffnet.</w:t>
      </w:r>
    </w:p>
    <w:p>
      <w:r>
        <w:t xml:space="preserve">Die Frist nach Satz 1 Nummer 3 verringert sich um den Zeitraum, der zwischen dem Eingang des Antrags auf Abschluss eines Basiskontovertrags beim Verpflichteten und dem Zugang des Angebots des Abschlusses des Basiskontovertrags durch den Verpflichteten beim Berechtigten verstrichen ist. Die Frist nach Satz 1 Nummer 3 verlängert sich um den Zeitraum, der zwischen dem Zugang des Angebots auf Abschluss des Basiskontovertrags beim Berechtigten und dem Zugang der Annahme dieses Angebots durch den Berechtigten beim Verpflichteten liegt.</w:t>
      </w:r>
    </w:p>
    <w:p>
      <w:r>
        <w:t xml:space="preserve">(2) Die Beantragung eines Verwaltungsverfahrens nach Absatz 1 ist unzulässig, wenn</w:t>
      </w:r>
    </w:p>
    <w:p>
      <w:pPr>
        <w:ind w:left="420"/>
      </w:pPr>
      <w:r>
        <w:t xml:space="preserve">1. der Berechtigte wegen der in Absatz 1 Satz 1 Nummer 1 bis 3 genannten Gründe bereits eine Klage gegen den Verpflichteten vor den ordentlichen Gerichten erhoben hat und diese Klage noch anhängig ist oder rechtskräftig über sie entschieden wurde oder</w:t>
      </w:r>
    </w:p>
    <w:p>
      <w:pPr>
        <w:ind w:left="420"/>
      </w:pPr>
      <w:r>
        <w:t xml:space="preserve">2. wegen der in Absatz 1 Satz 1 Nummer 1 bis 3 genannten Gründe ein Verfahren vor der nach § 14 Absatz 1 des Unterlassungsklagengesetzes zuständigen Verbraucherschlichtungsstelle anhängig ist.</w:t>
      </w:r>
    </w:p>
    <w:p>
      <w:r>
        <w:t xml:space="preserve">(3) Die Bundesanstalt bestätigt dem Berechtigten schriftlich oder elektronisch den Eingang des Antrags auf Durchführung des Verwaltungsverfahrens. Den Abschluss des Verwaltungsverfahrens bestätigt sie gleichermaßen.</w:t>
      </w:r>
    </w:p>
    <w:p>
      <w:r>
        <w:rPr>
          <w:color w:val="555555"/>
          <w:sz w:val="17"/>
        </w:rPr>
        <w:t xml:space="preserve">Zitiervorschlag: § 48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