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ZKG — Öffentliche Informationen der Bundesanstalt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veröffentlicht die Liste der repräsentativsten mit einem Zahlungskonto verbundenen Dienste nach Artikel 3 Absatz 5 der Richtlinie 2014/92/EU.</w:t>
      </w:r>
    </w:p>
    <w:p>
      <w:r>
        <w:t xml:space="preserve">(2) Die Bundesanstalt veröffentlicht und aktualisiert die nach § 9 Absatz 4, § 13 Absatz 4 und § 14 Absatz 5 vorgegebenen Muster auf ihren Internetseiten. Nicht mehr aktuelle Fassungen sind zu archivieren und zum Abruf bereitzuhalten.</w:t>
      </w:r>
    </w:p>
    <w:p>
      <w:r>
        <w:rPr>
          <w:color w:val="555555"/>
          <w:sz w:val="17"/>
        </w:rPr>
        <w:t xml:space="preserve">Zitiervorschlag: § 47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