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ZKG — Unterstützungsleistungen zu Basiskonten</w:t>
      </w:r>
    </w:p>
    <w:p>
      <w:r>
        <w:rPr>
          <w:color w:val="555555"/>
          <w:sz w:val="18"/>
        </w:rPr>
        <w:t xml:space="preserve">Zahlungskontengesetz</w:t>
      </w:r>
    </w:p>
    <w:p>
      <w:r>
        <w:rPr>
          <w:color w:val="555555"/>
          <w:sz w:val="18"/>
        </w:rPr>
        <w:t xml:space="preserve">Stand: 10.06.2019 (konsolidierte Textfassung, kein amtliches Inkrafttretensdatum)</w:t>
      </w:r>
    </w:p>
    <w:p>
      <w:r>
        <w:t xml:space="preserve">Institute, die Zahlungskonten auf dem Markt für Verbraucher anbieten, haben Verbrauchern jederzeit unentgeltlich Unterstützung in Bezug auf die spezifischen Merkmale, Entgelte und Kosten sowie auf die Nutzungsbedingungen der angebotenen Basiskonten zur Verfügung zu stellen.</w:t>
      </w:r>
    </w:p>
    <w:p>
      <w:r>
        <w:rPr>
          <w:color w:val="555555"/>
          <w:sz w:val="17"/>
        </w:rPr>
        <w:t xml:space="preserve">Zitiervorschlag: § 45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