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ZKG — Anwendungsbereich</w:t>
      </w:r>
    </w:p>
    <w:p>
      <w:r>
        <w:rPr>
          <w:color w:val="555555"/>
          <w:sz w:val="18"/>
        </w:rPr>
        <w:t xml:space="preserve">Zahlungskontengesetz</w:t>
      </w:r>
    </w:p>
    <w:p>
      <w:r>
        <w:rPr>
          <w:color w:val="555555"/>
          <w:sz w:val="18"/>
        </w:rPr>
        <w:t xml:space="preserve">Stand: 10.06.2019 (konsolidierte Textfassung, kein amtliches Inkrafttretensdatum)</w:t>
      </w:r>
    </w:p>
    <w:p>
      <w:r>
        <w:t xml:space="preserve">(1) Dieser Abschnitt gilt für Zahlungsdiensterahmenverträge über die Führung eines Zahlungskontos für Verbraucher mit grundlegenden Funktionen (Basiskontoverträge).</w:t>
      </w:r>
    </w:p>
    <w:p>
      <w:r>
        <w:t xml:space="preserve">(2) Ein Zahlungskonto mit grundlegenden Funktionen (Basiskonto) ist ein bei einem Institut geführtes Zahlungskonto, das folgende Kriterien erfüllt:</w:t>
      </w:r>
    </w:p>
    <w:p>
      <w:pPr>
        <w:ind w:left="420"/>
      </w:pPr>
      <w:r>
        <w:t xml:space="preserve">1. mit ihm wird mindestens die Erbringung von Zahlungsdiensten im Sinne des § 38 Absatz 2 Nummer 1 und 2 ermöglicht und</w:t>
      </w:r>
    </w:p>
    <w:p>
      <w:pPr>
        <w:ind w:left="420"/>
      </w:pPr>
      <w:r>
        <w:t xml:space="preserve">2. es wird auf Grund eines Basiskontovertrags geführt, der</w:t>
      </w:r>
    </w:p>
    <w:p>
      <w:pPr>
        <w:ind w:left="780"/>
      </w:pPr>
      <w:r>
        <w:t xml:space="preserve">a) vom Kontoinhaber auf Grund der Geltendmachung eines Anspruchs auf Abschluss eines Basiskontovertrags mit dem nach § 31 Absatz 1 Satz 1 Verpflichteten geschlossen worden ist oder</w:t>
      </w:r>
    </w:p>
    <w:p>
      <w:pPr>
        <w:ind w:left="780"/>
      </w:pPr>
      <w:r>
        <w:t xml:space="preserve">b) zwischen dem Kontoinhaber und dem kontoführenden Institut in anderer als in Buchstabe a bezeichneter Weise auf Grund eines angebotenen Zahlungsdiensterahmenvertrags über die Führung eines Basiskontos bei ausdrücklicher Bezeichnung des Zahlungskontos als Basiskonto geschlossen worden ist.</w:t>
      </w:r>
    </w:p>
    <w:p>
      <w:r>
        <w:t xml:space="preserve">(3) Wenn es sich bei dem Institut um eine rechtlich nicht selbständige Zweigniederlassung nach § 53b Absatz 1 des Kreditwesengesetzes oder eine Zweigstelle nach § 53 des Kreditwesengesetzes handelt, so ist Träger der Rechte und Pflichten des Instituts nach diesem Abschnitt das Unternehmen mit Sitz im Ausland, das diese Zweigniederlassung oder Zweigstelle betreibt. Maßgeblich für den Umfang des Angebots des Instituts nach § 38 Absatz 4 ist der Umfang des allgemeinen Angebots des Instituts für Verbraucher in Bezug auf diese Zweigniederlassung oder Zweigstelle.</w:t>
      </w:r>
    </w:p>
    <w:p>
      <w:r>
        <w:rPr>
          <w:color w:val="555555"/>
          <w:sz w:val="17"/>
        </w:rPr>
        <w:t xml:space="preserve">Zitiervorschlag: § 30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