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ZKG — Aufforderung durch den Verbraucher</w:t>
      </w:r>
    </w:p>
    <w:p>
      <w:r>
        <w:rPr>
          <w:color w:val="555555"/>
          <w:sz w:val="18"/>
        </w:rPr>
        <w:t xml:space="preserve">Zahlungskontengesetz</w:t>
      </w:r>
    </w:p>
    <w:p>
      <w:r>
        <w:rPr>
          <w:color w:val="555555"/>
          <w:sz w:val="18"/>
        </w:rPr>
        <w:t xml:space="preserve">Stand: 10.06.2019 (konsolidierte Textfassung, kein amtliches Inkrafttretensdatum)</w:t>
      </w:r>
    </w:p>
    <w:p>
      <w:r>
        <w:t xml:space="preserve">(1) Die Aufforderung durch den Verbraucher zur Vornahme der in § 29 genannten Handlungen muss das Datum enthalten, zu welchem diese Handlungen vorgenommen werden sollen. Dieses Datum muss mindestens sechs Geschäftstage nach dem Eingang der Aufforderung beim Zahlungsdienstleister liegen. Dies gilt nicht, sofern der Verbraucher und der Zahlungsdienstleister ausdrücklich etwas anderes vereinbart haben. Fehlt eine Datumsangabe oder entspricht sie nicht den in Satz 2 genannten Voraussetzungen, so gilt die Aufforderung als für den siebten Geschäftstag nach ihrem Eingang beim Zahlungsdienstleister erteilt.</w:t>
      </w:r>
    </w:p>
    <w:p>
      <w:r>
        <w:t xml:space="preserve">(2) Verlangt der Verbraucher die Übertragung eines positiven Saldos seines beim übertragenden Zahlungsdienstleister geführten Zahlungskontos auf das Zahlungskonto, das bei einem anderen europäischen Zahlungsdienstleister eröffnet oder geführt wird, so muss der Verbraucher dem übertragenden Zahlungsdienstleister die IBAN dieses Kontos oder gleichwertige Angaben nennen, die dem Zahlungsdienstleister die Identifizierung des europäischen Zahlungsdienstleisters sowie des dortigen Zahlungskontos des Verbrauchers ermöglichen.</w:t>
      </w:r>
    </w:p>
    <w:p>
      <w:r>
        <w:rPr>
          <w:color w:val="555555"/>
          <w:sz w:val="17"/>
        </w:rPr>
        <w:t xml:space="preserve">Zitiervorschlag: § 28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