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ZKG — Entgelte, Kosten und Verbot von Vertragsstrafen</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 Zahlungsdienstleister hat für die Erfüllung seiner Pflichten nach den Unterabschnitten 1 und 2 nur dann einen Entgeltanspruch gegenüber dem Verbraucher, wenn dies zwischen dem Verbraucher und dem Zahlungsdienstleister vereinbart worden ist. Dieses Entgelt muss angemessen und an den tatsächlichen Kosten des Zahlungsdienstleisters ausgerichtet sein.</w:t>
      </w:r>
    </w:p>
    <w:p>
      <w:r>
        <w:t xml:space="preserve">(2) Absatz 1 Satz 2 gilt für Vereinbarungen über zu erstattende Kosten entsprechend.</w:t>
      </w:r>
    </w:p>
    <w:p>
      <w:r>
        <w:t xml:space="preserve">(3) Ein Entgelt oder die Erstattung von Kosten darf mit dem Verbraucher nicht vereinbart werden für</w:t>
      </w:r>
    </w:p>
    <w:p>
      <w:pPr>
        <w:ind w:left="420"/>
      </w:pPr>
      <w:r>
        <w:t xml:space="preserve">1. den Zugang des Verbrauchers zu seinen personenbezogenen Daten im Zusammenhang mit bestehenden Daueraufträgen und Lastschriften, die beim betreffenden Zahlungsdienstleister vorhanden sind,</w:t>
      </w:r>
    </w:p>
    <w:p>
      <w:pPr>
        <w:ind w:left="420"/>
      </w:pPr>
      <w:r>
        <w:t xml:space="preserve">2. die Übersendung der Informationen und Listen nach § 23 Absatz 1 Nummer 1 sowie</w:t>
      </w:r>
    </w:p>
    <w:p>
      <w:pPr>
        <w:ind w:left="420"/>
      </w:pPr>
      <w:r>
        <w:t xml:space="preserve">3. die Schließung des beim übertragenden Zahlungsdienstleister geführten Zahlungskontos des Verbrauchers.</w:t>
      </w:r>
    </w:p>
    <w:p>
      <w:r>
        <w:t xml:space="preserve">(4) Der übertragende Zahlungsdienstleister darf mit dem empfangenden Zahlungsdienstleister weder ein Entgelt noch die Erstattung von Kosten für die Übersendung der Informationen und Listen nach § 23 Absatz 1 Nummer 1 vereinbaren.</w:t>
      </w:r>
    </w:p>
    <w:p>
      <w:r>
        <w:t xml:space="preserve">(5) Eine Vereinbarung, nach der der Verbraucher eine Vertragsstrafe im Zusammenhang mit der Kontenwechselhilfe nach diesem Abschnitt schuldet, ist unzulässig.</w:t>
      </w:r>
    </w:p>
    <w:p>
      <w:r>
        <w:rPr>
          <w:color w:val="555555"/>
          <w:sz w:val="17"/>
        </w:rPr>
        <w:t xml:space="preserve">Zitiervorschlag: § 26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