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ZKG — Pflichten des übertragenden Zahlungsdienstleisters</w:t>
      </w:r>
    </w:p>
    <w:p>
      <w:r>
        <w:rPr>
          <w:color w:val="555555"/>
          <w:sz w:val="18"/>
        </w:rPr>
        <w:t xml:space="preserve">Zahlungskontengesetz</w:t>
      </w:r>
    </w:p>
    <w:p>
      <w:r>
        <w:rPr>
          <w:color w:val="555555"/>
          <w:sz w:val="18"/>
        </w:rPr>
        <w:t xml:space="preserve">Stand: 10.06.2019 (konsolidierte Textfassung, kein amtliches Inkrafttretensdatum)</w:t>
      </w:r>
    </w:p>
    <w:p>
      <w:r>
        <w:t xml:space="preserve">(1) Der übertragende Zahlungsdienstleister hat nach Erhalt einer entsprechenden Aufforderung nach § 22 folgende Leistungen zu erbringen, soweit die Ermächtigung zur Kontenwechselhilfe dies vorsieht:</w:t>
      </w:r>
    </w:p>
    <w:p>
      <w:pPr>
        <w:ind w:left="420"/>
      </w:pPr>
      <w:r>
        <w:t xml:space="preserve">1. dem empfangenden Zahlungsdienstleister und dem Verbraucher die Listen und Informationen gemäß § 22 Nummer 1 und 2 innerhalb von fünf Geschäftstagen zu senden,</w:t>
      </w:r>
    </w:p>
    <w:p>
      <w:pPr>
        <w:ind w:left="420"/>
      </w:pPr>
      <w:r>
        <w:t xml:space="preserve">2. Lastschriften und eingehende Überweisungen mit Wirkung ab dem in der Ermächtigung hierzu bestimmten Datum gemäß § 21 Absatz 2 Nummer 4 nicht mehr zu akzeptieren, wenn er keinen Mechanismus für die automatische Umleitung der Lastschriften und der eingehenden Überweisungen auf das beim empfangenden Zahlungsdienstleister geführte Zahlungskonto des Verbrauchers vorsieht, sowie Zahlungsempfänger und Zahler dieser nicht akzeptierten Zahlungsvorgänge darüber zu informieren, aus welchem Grund sie nicht akzeptiert wurden,</w:t>
      </w:r>
    </w:p>
    <w:p>
      <w:pPr>
        <w:ind w:left="420"/>
      </w:pPr>
      <w:r>
        <w:t xml:space="preserve">3. Daueraufträge mit Wirkung ab dem in der Ermächtigung hierzu bestimmten Datum gemäß § 21 Absatz 2 Nummer 4 nicht mehr auszuführen,</w:t>
      </w:r>
    </w:p>
    <w:p>
      <w:pPr>
        <w:ind w:left="420"/>
      </w:pPr>
      <w:r>
        <w:t xml:space="preserve">4. den auf dem Zahlungskonto des Verbrauchers verbliebenen positiven Saldo zu dem in der Ermächtigung hierzu bestimmten Datum gemäß § 21 Absatz 2 Nummer 4 auf das beim empfangenden Zahlungsdienstleister geführte oder eröffnete Zahlungskonto zu überweisen und</w:t>
      </w:r>
    </w:p>
    <w:p>
      <w:pPr>
        <w:ind w:left="420"/>
      </w:pPr>
      <w:r>
        <w:t xml:space="preserve">5. das beim übertragenden Zahlungsdienstleister geführte Zahlungskonto des Verbrauchers unbeschadet des § 675h Absatz 1 des Bürgerlichen Gesetzbuchs zu dem in der Ermächtigung hierzu bestimmten Datum gemäß § 21 Absatz 2 Nummer 4 zu schließen, wenn die Schritte nach den Nummern 1, 2 und 4 vollzogen wurden.</w:t>
      </w:r>
    </w:p>
    <w:p>
      <w:r>
        <w:t xml:space="preserve">(2) Der übertragende Zahlungsdienstleister darf unbeschadet des § 675k Absatz 2 des Bürgerlichen Gesetzbuchs vom Verbraucher eingesetzte Zahlungsauthentifizierungsinstrumente nicht vor dem in der Ermächtigung hierzu bestimmten Datum gemäß § 21 Absatz 2 Nummer 4 sperren.</w:t>
      </w:r>
    </w:p>
    <w:p>
      <w:r>
        <w:rPr>
          <w:color w:val="555555"/>
          <w:sz w:val="17"/>
        </w:rPr>
        <w:t xml:space="preserve">Zitiervorschlag: § 23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