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ZKG — Einleitung des Kontenwechsels über den empfangenden Zahlungsdienstleister</w:t>
      </w:r>
    </w:p>
    <w:p>
      <w:r>
        <w:rPr>
          <w:color w:val="555555"/>
          <w:sz w:val="18"/>
        </w:rPr>
        <w:t xml:space="preserve">Zahlungskontengesetz</w:t>
      </w:r>
    </w:p>
    <w:p>
      <w:r>
        <w:rPr>
          <w:color w:val="555555"/>
          <w:sz w:val="18"/>
        </w:rPr>
        <w:t xml:space="preserve">Stand: 10.06.2019 (konsolidierte Textfassung, kein amtliches Inkrafttretensdatum)</w:t>
      </w:r>
    </w:p>
    <w:p>
      <w:r>
        <w:t xml:space="preserve">Der empfangende Zahlungsdienstleister hat auf Verlangen des Verbrauchers innerhalb von zwei Geschäftstagen nach Erhalt der Ermächtigung zur Kontenwechselhilfe den übertragenden Zahlungsdienstleister aufzufordern, folgende Leistungen zu erbringen, soweit die Ermächtigung zur Kontenwechselhilfe dies vorsieht:</w:t>
      </w:r>
    </w:p>
    <w:p>
      <w:pPr>
        <w:ind w:left="420"/>
      </w:pPr>
      <w:r>
        <w:t xml:space="preserve">1. dem empfangenden Zahlungsdienstleister und dem Verbraucher eine Liste der bestehenden Daueraufträge und die beim übertragenden Zahlungsdienstleister verfügbaren Informationen zu Lastschriftmandaten zu übermitteln, die bei dem Kontowechsel transferiert werden,</w:t>
      </w:r>
    </w:p>
    <w:p>
      <w:pPr>
        <w:ind w:left="420"/>
      </w:pPr>
      <w:r>
        <w:t xml:space="preserve">2. dem empfangenden Zahlungsdienstleister und dem Verbraucher die verfügbaren Informationen über eingehende Überweisungen und vom Zahlungsempfänger veranlasste Lastschriften auf dem Zahlungskonto des Verbrauchers in den vorangegangenen 13 Monaten zu übermitteln,</w:t>
      </w:r>
    </w:p>
    <w:p>
      <w:pPr>
        <w:ind w:left="420"/>
      </w:pPr>
      <w:r>
        <w:t xml:space="preserve">3. Lastschriften und eingehende Überweisungen mit Wirkung ab dem in der Ermächtigung hierzu bestimmten Datum gemäß § 21 Absatz 2 Nummer 4 nicht mehr zu akzeptieren, wenn der übertragende Zahlungsdienstleister keinen Mechanismus für die automatische Umleitung der Lastschriften und eingehenden Überweisungen auf das beim empfangenden Zahlungsdienstleister geführte Zahlungskonto des Verbrauchers vorsieht,</w:t>
      </w:r>
    </w:p>
    <w:p>
      <w:pPr>
        <w:ind w:left="420"/>
      </w:pPr>
      <w:r>
        <w:t xml:space="preserve">4. Daueraufträge mit Wirkung ab dem in der Ermächtigung hierzu bestimmten Datum gemäß § 21 Absatz 2 Nummer 4 nicht mehr auszuführen,</w:t>
      </w:r>
    </w:p>
    <w:p>
      <w:pPr>
        <w:ind w:left="420"/>
      </w:pPr>
      <w:r>
        <w:t xml:space="preserve">5. einen auf dem Zahlungskonto des Verbrauchers verbliebenen positiven Saldo zu dem in der Ermächtigung hierzu bestimmten Datum gemäß § 21 Absatz 2 Nummer 4 auf das beim empfangenden Zahlungsdienstleister geführte oder eröffnete Zahlungskonto zu überweisen und</w:t>
      </w:r>
    </w:p>
    <w:p>
      <w:pPr>
        <w:ind w:left="420"/>
      </w:pPr>
      <w:r>
        <w:t xml:space="preserve">6. das beim übertragenden Zahlungsdienstleister geführte Zahlungskonto des Verbrauchers zu dem in der Ermächtigung hierzu bestimmten Datum gemäß § 21 Absatz 2 Nummer 4 zu schließen.</w:t>
      </w:r>
    </w:p>
    <w:p>
      <w:r>
        <w:rPr>
          <w:color w:val="555555"/>
          <w:sz w:val="17"/>
        </w:rPr>
        <w:t xml:space="preserve">Zitiervorschlag: § 22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