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ZKG — Ermächtigung des Kontoinhabers</w:t>
      </w:r>
    </w:p>
    <w:p>
      <w:r>
        <w:rPr>
          <w:color w:val="555555"/>
          <w:sz w:val="18"/>
        </w:rPr>
        <w:t xml:space="preserve">Zahlungskontengesetz</w:t>
      </w:r>
    </w:p>
    <w:p>
      <w:r>
        <w:rPr>
          <w:color w:val="555555"/>
          <w:sz w:val="18"/>
        </w:rPr>
        <w:t xml:space="preserve">Stand: 10.06.2019 (konsolidierte Textfassung, kein amtliches Inkrafttretensdatum)</w:t>
      </w:r>
    </w:p>
    <w:p>
      <w:r>
        <w:t xml:space="preserve">(1) Eine Ermächtigung zur Kontenwechselhilfe bedarf der Schriftform. Sie muss in deutscher Sprache verfasst sein, es sei denn, die beteiligten Zahlungsdienstleister und der Inhaber des betroffenen Zahlungskontos haben sich auf eine andere Sprache geeinigt. Jeder der beteiligten Zahlungsdienstleister hat dem Verbraucher sowie gegebenenfalls jedem weiteren Inhaber der betroffenen Zahlungskonten auf dessen Wunsch unverzüglich ein Formular für die Ermächtigung zu übermitteln. Dem Verbraucher ist eine Kopie der erteilten Ermächtigung auszuhändigen.</w:t>
      </w:r>
    </w:p>
    <w:p>
      <w:r>
        <w:t xml:space="preserve">(2) Das Formular für die Ermächtigung muss so gestaltet sein, dass der Inhaber des betroffenen Zahlungskontos die Möglichkeit hat, eine Ermächtigung in Schriftform zu erteilen, in der er</w:t>
      </w:r>
    </w:p>
    <w:p>
      <w:pPr>
        <w:ind w:left="420"/>
      </w:pPr>
      <w:r>
        <w:t xml:space="preserve">1. dem übertragenden Zahlungsdienstleister für die Ausführung jeder der in den §§ 22 und 23 genannten Leistungen separat seine ausdrückliche Einwilligung erteilen kann,</w:t>
      </w:r>
    </w:p>
    <w:p>
      <w:pPr>
        <w:ind w:left="420"/>
      </w:pPr>
      <w:r>
        <w:t xml:space="preserve">2. dem empfangenden Zahlungsdienstleister für die Ausführung jeder der in den §§ 22 und 24 genannten Leistungen separat seine ausdrückliche Einwilligung erteilen kann,</w:t>
      </w:r>
    </w:p>
    <w:p>
      <w:pPr>
        <w:ind w:left="420"/>
      </w:pPr>
      <w:r>
        <w:t xml:space="preserve">3. die einzelnen eingehenden Überweisungen, Daueraufträge und Lastschriftmandate bestimmen kann, die von der Kontenwechselhilfe erfasst werden sollen,</w:t>
      </w:r>
    </w:p>
    <w:p>
      <w:pPr>
        <w:ind w:left="420"/>
      </w:pPr>
      <w:r>
        <w:t xml:space="preserve">4. Daten bestimmen kann, ab denen der übertragende Zahlungsdienstleister für das bei ihm geführte Zahlungskonto Lastschriften und eingehende Überweisungen nicht mehr akzeptieren sowie Daueraufträge nicht mehr ausführen und Zahlungsauthentifizierungsinstrumente sperren soll sowie zu denen er das bei ihm geführte Zahlungskonto schließen und einen verbleibenden positiven Saldo auf das beim empfangenden Zahlungsdienstleister geführte Zahlungskonto überweisen soll, und</w:t>
      </w:r>
    </w:p>
    <w:p>
      <w:pPr>
        <w:ind w:left="420"/>
      </w:pPr>
      <w:r>
        <w:t xml:space="preserve">5. Daten bestimmen kann, ab denen Daueraufträge von dem beim empfangenden Zahlungsdienstleister geführten Zahlungskonto ausgeführt und Lastschriften akzeptiert werden sollen.</w:t>
      </w:r>
    </w:p>
    <w:p>
      <w:r>
        <w:t xml:space="preserve">(3) Ein Zahlungsdienstleister kann sich des Musterformulars in Anlage 1 bedienen, das den Anforderungen des Absatzes 2 entspricht.</w:t>
      </w:r>
    </w:p>
    <w:p>
      <w:r>
        <w:t xml:space="preserve">(4) Die Ermächtigung nach Absatz 1 kann abweichend von Absatz 1 Satz 1 auch im Online-Banking durch den Inhaber des betroffenen Zahlungskontos erteilt werden.</w:t>
      </w:r>
    </w:p>
    <w:p>
      <w:r>
        <w:rPr>
          <w:color w:val="555555"/>
          <w:sz w:val="17"/>
        </w:rPr>
        <w:t xml:space="preserve">Zitiervorschlag: § 21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