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ZKG — Anforderungen an die Vergleichswebsite für Zahlungskonten, Meldepflicht für Zahlungsdienstleister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15.04.2026 (konsolidierte Textfassung, kein amtliches Inkrafttretensdatum)</w:t>
      </w:r>
    </w:p>
    <w:p>
      <w:r>
        <w:t xml:space="preserve">(1) Die Vergleichswebsite muss das Angebot verschiedener Zahlungsdienstleister, die Zahlungskontendienste anbieten und Zahlungskonten führen, mindestens anhand der folgenden Kriterien vergleichen:</w:t>
      </w:r>
    </w:p>
    <w:p>
      <w:pPr>
        <w:ind w:left="420"/>
      </w:pPr>
      <w:r>
        <w:t xml:space="preserve">1. die von den Zahlungsdienstleistern erhobenen Entgelte für die maßgeblichen Zahlungskontendienste sowie etwaige Kosten und Vertragsstrafen, die in Bezug auf die angebotenen Dienste oder Pakete vorgesehen sind,</w:t>
      </w:r>
    </w:p>
    <w:p>
      <w:pPr>
        <w:ind w:left="420"/>
      </w:pPr>
      <w:r>
        <w:t xml:space="preserve">2. das Filialnetz,</w:t>
      </w:r>
    </w:p>
    <w:p>
      <w:pPr>
        <w:ind w:left="420"/>
      </w:pPr>
      <w:r>
        <w:t xml:space="preserve">3. das Geldautomatennetz und</w:t>
      </w:r>
    </w:p>
    <w:p>
      <w:pPr>
        <w:ind w:left="420"/>
      </w:pPr>
      <w:r>
        <w:t xml:space="preserve">4. den Sollzinssatz für eingeräumte Überziehungsmöglichkeiten gemäß § 504 des Bürgerlichen Gesetzbuchs und für geduldete Überziehungen gemäß § 505 des Bürgerlichen Gesetzbuchs.</w:t>
      </w:r>
    </w:p>
    <w:p>
      <w:r>
        <w:t xml:space="preserve">(2) Zahlungsdienstleister sind verpflichtet, der Bundesanstalt die Daten zu Kriterien nach Absatz 1 in Verbindung mit einer Rechtsverordnung nach § 19 Absatz 1 und 3 zu melden. Änderungen und Aktualisierungen der gemeldeten Daten sowie Daten zu den Kriterien nach Absatz 1 in Verbindung mit einer Rechtsverordnung nach § 19 Absatz 1 für neu angebotene Zahlungskonten sind der Bundesanstalt innerhalb von drei Geschäftstagen ab deren Gültigkeit zu melden. Für das Kriterium Geldautomatennetz ist eine halbjährliche Änderung und Aktualisierung der gemeldeten Daten ausreichend.</w:t>
      </w:r>
    </w:p>
    <w:p>
      <w:r>
        <w:rPr>
          <w:color w:val="555555"/>
          <w:sz w:val="17"/>
        </w:rPr>
        <w:t xml:space="preserve">Zitiervorschlag: § 17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